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821" w:type="dxa"/>
        <w:tblInd w:w="-12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60"/>
        <w:gridCol w:w="622"/>
        <w:gridCol w:w="1126"/>
        <w:gridCol w:w="1126"/>
        <w:gridCol w:w="35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8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Основные показатели финансовой деятельности организации образования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108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по состоянию на "31_" января _2019_г.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108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СШ им Укубаева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08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(наименование организации образования)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Периодичность: ежеквартально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Среднее образование </w:t>
            </w:r>
          </w:p>
        </w:tc>
        <w:tc>
          <w:tcPr>
            <w:tcW w:w="6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ед. изм.</w:t>
            </w:r>
          </w:p>
        </w:tc>
        <w:tc>
          <w:tcPr>
            <w:tcW w:w="5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 год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43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годовой план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план на период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факт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Среднегодовой контингент обучающиеся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чел.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средний расход на 1-го обучающегося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293,5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67,0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Всего расходы, тыс.тенге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111245,0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25396,7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9270,4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том числе: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Фонд заработной платы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81943,2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20485,8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6828,6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из них: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3.1. Адмиистративный персонал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5018,0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1254,5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штатная численность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единиц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4,0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среднемесячная заработная плата 1 ед.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104541,7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104541,7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3.2. Основной пересонал - учителя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43790,0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10947,5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3649,2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штатная численность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единиц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39,5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39,5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среднемесячная заработная плата 1 ед.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92384,0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92384,0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3.3. Прочий педагогический персонал </w:t>
            </w: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sz w:val="22"/>
                <w:szCs w:val="22"/>
                <w:lang w:val="en-US" w:eastAsia="zh-CN" w:bidi="ar"/>
              </w:rPr>
              <w:t>(педагог-психолог, социальный педагог, вожатый и др.)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2670,0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667,5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штатная численность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единиц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среднемесячная заработная плата 1 ед.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74166,7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74166,7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3.4. Вспомогательный и технический персонал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30465,2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7616,3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2538,8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штатная численность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единиц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37,0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среднемесячная заработная плата 1 ед.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68615,3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68615,3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Налоги и другие обязательные платежи в бюджет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9013,8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2253,4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751,1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 Коммунальные расходы </w:t>
            </w: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2"/>
                <w:szCs w:val="22"/>
                <w:lang w:val="en-US" w:eastAsia="zh-CN" w:bidi="ar"/>
              </w:rPr>
              <w:t>(свет, вода, отопление, связь,интернет, ареднда помещений и др.)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10230,0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2557,5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Текущий ремонт помещений и оборудования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0,0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 Капитальные расходы </w:t>
            </w: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2"/>
                <w:szCs w:val="22"/>
                <w:lang w:val="en-US" w:eastAsia="zh-CN" w:bidi="ar"/>
              </w:rPr>
              <w:t>(капительный ремонт, приобретение основных средств)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0,0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0" w:hRule="atLeast"/>
        </w:trPr>
        <w:tc>
          <w:tcPr>
            <w:tcW w:w="4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 Прочие расходы </w:t>
            </w:r>
            <w:r>
              <w:rPr>
                <w:rFonts w:hint="default" w:ascii="Times New Roman" w:hAnsi="Times New Roman" w:eastAsia="Arial Narrow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2"/>
                <w:szCs w:val="22"/>
                <w:lang w:val="en-US" w:eastAsia="zh-CN" w:bidi="ar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Narrow" w:cs="Times New Roman"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тенге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2562,0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Narrow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</w:tr>
    </w:tbl>
    <w:p/>
    <w:sectPr>
      <w:pgSz w:w="11906" w:h="16838"/>
      <w:pgMar w:top="440" w:right="1800" w:bottom="5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1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uiPriority w:val="0"/>
    <w:rPr>
      <w:rFonts w:hint="default" w:ascii="Arial Narrow" w:hAnsi="Arial Narrow" w:eastAsia="Arial Narrow" w:cs="Arial Narrow"/>
      <w:i/>
      <w:color w:val="000000"/>
      <w:sz w:val="28"/>
      <w:szCs w:val="28"/>
      <w:u w:val="none"/>
    </w:rPr>
  </w:style>
  <w:style w:type="character" w:customStyle="1" w:styleId="5">
    <w:name w:val="font21"/>
    <w:uiPriority w:val="0"/>
    <w:rPr>
      <w:rFonts w:hint="default" w:ascii="Arial Narrow" w:hAnsi="Arial Narrow" w:eastAsia="Arial Narrow" w:cs="Arial Narrow"/>
      <w:i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Office_10.2.0.5832_F1E327BC-269C-435d-A152-05C5408002CA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2019-02-18T03:24:26Z</dcterms:created>
  <dc:creator>Оразбай</dc:creator>
  <cp:lastModifiedBy>Оразбай</cp:lastModifiedBy>
  <dcterms:modified xsi:type="dcterms:W3CDTF">2019-02-18T03:28:47Z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